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02" w:rsidRPr="000F1700" w:rsidRDefault="000F1700" w:rsidP="006C1205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F1700">
        <w:rPr>
          <w:rFonts w:ascii="Times New Roman" w:hAnsi="Times New Roman" w:cs="Times New Roman"/>
          <w:sz w:val="28"/>
          <w:lang w:val="en-US"/>
        </w:rPr>
        <w:tab/>
      </w:r>
      <w:r w:rsidR="00E05FED">
        <w:rPr>
          <w:rFonts w:ascii="Times New Roman" w:hAnsi="Times New Roman" w:cs="Times New Roman"/>
          <w:sz w:val="28"/>
        </w:rPr>
        <w:t xml:space="preserve">Генеральному </w:t>
      </w:r>
      <w:r w:rsidR="000043CE">
        <w:rPr>
          <w:rFonts w:ascii="Times New Roman" w:hAnsi="Times New Roman" w:cs="Times New Roman"/>
          <w:sz w:val="28"/>
        </w:rPr>
        <w:t>директору</w:t>
      </w:r>
    </w:p>
    <w:p w:rsidR="000F1700" w:rsidRDefault="00AA6E51" w:rsidP="006C1205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F1700" w:rsidRPr="000F1700">
        <w:rPr>
          <w:rFonts w:ascii="Times New Roman" w:hAnsi="Times New Roman" w:cs="Times New Roman"/>
          <w:sz w:val="28"/>
        </w:rPr>
        <w:t xml:space="preserve">АО «Региональная </w:t>
      </w:r>
    </w:p>
    <w:p w:rsidR="000F1700" w:rsidRPr="000F1700" w:rsidRDefault="000F1700" w:rsidP="006C1205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</w:t>
      </w:r>
      <w:r w:rsidRPr="000F1700">
        <w:rPr>
          <w:rFonts w:ascii="Times New Roman" w:hAnsi="Times New Roman" w:cs="Times New Roman"/>
          <w:sz w:val="28"/>
        </w:rPr>
        <w:t>нергетическая компания»</w:t>
      </w:r>
    </w:p>
    <w:p w:rsidR="000F1700" w:rsidRPr="00E05FED" w:rsidRDefault="000F1700" w:rsidP="006C1205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</w:rPr>
      </w:pPr>
      <w:r w:rsidRPr="000F1700">
        <w:rPr>
          <w:rFonts w:ascii="Times New Roman" w:hAnsi="Times New Roman" w:cs="Times New Roman"/>
          <w:sz w:val="28"/>
        </w:rPr>
        <w:tab/>
      </w:r>
      <w:r w:rsidR="00E05FED">
        <w:rPr>
          <w:rFonts w:ascii="Times New Roman" w:hAnsi="Times New Roman" w:cs="Times New Roman"/>
          <w:sz w:val="28"/>
        </w:rPr>
        <w:t>Е.А. Кобылину</w:t>
      </w:r>
    </w:p>
    <w:p w:rsidR="000F1700" w:rsidRPr="000F1700" w:rsidRDefault="000F1700" w:rsidP="000F1700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</w:pPr>
    </w:p>
    <w:p w:rsidR="000F1700" w:rsidRPr="000F1700" w:rsidRDefault="000F1700" w:rsidP="000F1700">
      <w:pPr>
        <w:tabs>
          <w:tab w:val="left" w:pos="6521"/>
        </w:tabs>
        <w:jc w:val="center"/>
        <w:rPr>
          <w:rFonts w:ascii="Times New Roman" w:hAnsi="Times New Roman" w:cs="Times New Roman"/>
          <w:sz w:val="28"/>
        </w:rPr>
      </w:pPr>
      <w:r w:rsidRPr="000F1700">
        <w:rPr>
          <w:rFonts w:ascii="Times New Roman" w:hAnsi="Times New Roman" w:cs="Times New Roman"/>
          <w:sz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01"/>
        <w:gridCol w:w="417"/>
        <w:gridCol w:w="2789"/>
        <w:gridCol w:w="3114"/>
      </w:tblGrid>
      <w:tr w:rsidR="000F1700" w:rsidTr="00BD5A92">
        <w:tc>
          <w:tcPr>
            <w:tcW w:w="534" w:type="dxa"/>
          </w:tcPr>
          <w:p w:rsidR="000F1700" w:rsidRDefault="000F1700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Я,</w:t>
            </w:r>
          </w:p>
        </w:tc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0F1700" w:rsidRDefault="000F1700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92" w:rsidRPr="00BD5A92" w:rsidTr="00BD5A92">
        <w:tc>
          <w:tcPr>
            <w:tcW w:w="9571" w:type="dxa"/>
            <w:gridSpan w:val="5"/>
          </w:tcPr>
          <w:p w:rsidR="00BD5A92" w:rsidRPr="00BD5A92" w:rsidRDefault="00BD5A9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(полное Ф.И.О. заявителя)</w:t>
            </w:r>
          </w:p>
        </w:tc>
      </w:tr>
      <w:tr w:rsidR="00BD5A92" w:rsidTr="00BD5A92">
        <w:tc>
          <w:tcPr>
            <w:tcW w:w="9571" w:type="dxa"/>
            <w:gridSpan w:val="5"/>
          </w:tcPr>
          <w:p w:rsidR="00BD5A92" w:rsidRDefault="00BD5A92" w:rsidP="007160A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обращаюсь с просьбой заключить договор на</w:t>
            </w:r>
            <w:r w:rsidR="007160A3">
              <w:rPr>
                <w:rFonts w:ascii="Times New Roman" w:hAnsi="Times New Roman" w:cs="Times New Roman"/>
                <w:sz w:val="28"/>
              </w:rPr>
              <w:t xml:space="preserve"> эн</w:t>
            </w:r>
            <w:r w:rsidR="008535CD">
              <w:rPr>
                <w:rFonts w:ascii="Times New Roman" w:hAnsi="Times New Roman" w:cs="Times New Roman"/>
                <w:sz w:val="28"/>
              </w:rPr>
              <w:t>е</w:t>
            </w:r>
            <w:r w:rsidR="007160A3">
              <w:rPr>
                <w:rFonts w:ascii="Times New Roman" w:hAnsi="Times New Roman" w:cs="Times New Roman"/>
                <w:sz w:val="28"/>
              </w:rPr>
              <w:t>рго</w:t>
            </w:r>
            <w:r w:rsidR="008535CD">
              <w:rPr>
                <w:rFonts w:ascii="Times New Roman" w:hAnsi="Times New Roman" w:cs="Times New Roman"/>
                <w:sz w:val="28"/>
              </w:rPr>
              <w:t>снабжение</w:t>
            </w:r>
          </w:p>
        </w:tc>
      </w:tr>
      <w:tr w:rsidR="00BD5A92" w:rsidTr="00BD5A9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BD5A92" w:rsidRDefault="00BD5A9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A92" w:rsidTr="002576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BD5A92" w:rsidRPr="00BD5A92" w:rsidRDefault="00BD5A92" w:rsidP="008535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объекта(ов), его (их)</w:t>
            </w:r>
            <w:r w:rsidR="008535CD">
              <w:rPr>
                <w:rFonts w:ascii="Times New Roman" w:hAnsi="Times New Roman" w:cs="Times New Roman"/>
                <w:sz w:val="20"/>
                <w:szCs w:val="20"/>
              </w:rPr>
              <w:t xml:space="preserve"> местонахождения, полное наименование организации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5CD" w:rsidTr="008535CD">
        <w:tc>
          <w:tcPr>
            <w:tcW w:w="9571" w:type="dxa"/>
            <w:gridSpan w:val="5"/>
          </w:tcPr>
          <w:p w:rsidR="008535CD" w:rsidRDefault="008535CD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35CD" w:rsidTr="008535CD">
        <w:tc>
          <w:tcPr>
            <w:tcW w:w="3510" w:type="dxa"/>
            <w:gridSpan w:val="3"/>
          </w:tcPr>
          <w:p w:rsidR="008535CD" w:rsidRPr="008535CD" w:rsidRDefault="008535CD" w:rsidP="008535C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разрешенной мощностью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8535CD" w:rsidRPr="008535CD" w:rsidRDefault="008535CD" w:rsidP="008535C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8535CD" w:rsidRPr="008535CD" w:rsidRDefault="008535CD" w:rsidP="008535C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кВт</w:t>
            </w:r>
          </w:p>
        </w:tc>
      </w:tr>
      <w:tr w:rsidR="00257642" w:rsidTr="008535CD">
        <w:tc>
          <w:tcPr>
            <w:tcW w:w="3085" w:type="dxa"/>
            <w:gridSpan w:val="2"/>
          </w:tcPr>
          <w:p w:rsidR="00257642" w:rsidRDefault="0025764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работы объекта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257642" w:rsidRDefault="0025764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642" w:rsidTr="008535CD">
        <w:tc>
          <w:tcPr>
            <w:tcW w:w="3085" w:type="dxa"/>
            <w:gridSpan w:val="2"/>
          </w:tcPr>
          <w:p w:rsidR="00257642" w:rsidRDefault="00257642" w:rsidP="000F170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</w:tcBorders>
          </w:tcPr>
          <w:p w:rsidR="00257642" w:rsidRPr="00BD5A92" w:rsidRDefault="00257642" w:rsidP="0025764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количество часов работы в сутки и выходных дней в неделю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B3E72" w:rsidRDefault="00EB3E72" w:rsidP="00EB3E72">
      <w:pPr>
        <w:tabs>
          <w:tab w:val="left" w:pos="6521"/>
        </w:tabs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сообщаю Вам реквизиты: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EB3E72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Адрес для писем: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72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3E72" w:rsidRPr="008535CD" w:rsidRDefault="00EB3E72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535CD">
              <w:rPr>
                <w:rFonts w:ascii="Times New Roman" w:hAnsi="Times New Roman" w:cs="Times New Roman"/>
                <w:sz w:val="28"/>
                <w:szCs w:val="28"/>
              </w:rPr>
              <w:t>/факс/</w:t>
            </w:r>
            <w:r w:rsidR="00853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EB3E72" w:rsidRPr="008535CD" w:rsidRDefault="00EB3E72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38766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EB3E7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19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6019" w:rsidRPr="008535CD" w:rsidRDefault="00506019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06019" w:rsidRPr="008535CD" w:rsidRDefault="00506019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19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6019" w:rsidRPr="008535CD" w:rsidRDefault="00506019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06019" w:rsidRPr="008535CD" w:rsidRDefault="00506019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19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6019" w:rsidRDefault="00506019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к/с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06019" w:rsidRPr="008535CD" w:rsidRDefault="00506019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5CD" w:rsidRPr="008535CD" w:rsidTr="007658C9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5CD" w:rsidRPr="000043CE" w:rsidRDefault="008535CD" w:rsidP="008535C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CD" w:rsidRPr="008535CD" w:rsidRDefault="008535CD" w:rsidP="008535C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В случае подключения физ. лиц и частных предпринимателей</w:t>
            </w: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16" w:rsidRPr="008535CD" w:rsidTr="0038766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5CD">
              <w:rPr>
                <w:rFonts w:ascii="Times New Roman" w:hAnsi="Times New Roman" w:cs="Times New Roman"/>
                <w:sz w:val="28"/>
                <w:szCs w:val="28"/>
              </w:rPr>
              <w:t>Кем выдан документ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06616" w:rsidRPr="008535CD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72" w:rsidRDefault="00EB3E72" w:rsidP="00EB3E7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706616" w:rsidTr="007066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16" w:rsidRDefault="00706616" w:rsidP="00706616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16" w:rsidRDefault="00706616" w:rsidP="00706616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706616" w:rsidTr="007066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Pr="00BD5A92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06616" w:rsidRPr="00BD5A92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06616" w:rsidRPr="00BD5A92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9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06616" w:rsidTr="0070661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06616" w:rsidRDefault="00706616" w:rsidP="007658C9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616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06616" w:rsidRDefault="00706616" w:rsidP="0070661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616" w:rsidRDefault="00706616" w:rsidP="007658C9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5E00" w:rsidRDefault="00495E00" w:rsidP="008535CD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Перечень</w:t>
      </w:r>
    </w:p>
    <w:p w:rsidR="00495E00" w:rsidRPr="00E05FED" w:rsidRDefault="00495E00" w:rsidP="00495E00">
      <w:pPr>
        <w:shd w:val="clear" w:color="auto" w:fill="FFFFFF"/>
        <w:spacing w:before="15" w:after="15" w:line="366" w:lineRule="atLeast"/>
        <w:ind w:left="15" w:right="15"/>
        <w:textAlignment w:val="baseline"/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</w:pPr>
      <w:r w:rsidRPr="00E05FE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Документы правового характера: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Устав и изменения к Уставу – копия.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Свидетельство о внесении в ЕГРЮЛ (ОГРН).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Свидетельство о постановке на налоговый учет (ИНН).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Письмо Калининградстата (коды ОКВЭД и ОКПО).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Выписка из ЕГРЮЛ на дату обращения для заключения договора — оригинал.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Выписка (справка) об открытии банковского счета (при расчетах без акцепта).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Приказ и Протокол (Решение) о назначении руководителя юридического лица — копия.</w:t>
      </w:r>
    </w:p>
    <w:p w:rsidR="00495E00" w:rsidRPr="00495E00" w:rsidRDefault="00495E00" w:rsidP="00495E00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Свидетельство о государственной регистрации права собственности (либо регистрационное удостоверение БТИ, выданное до августа1999 г.) или договор аренды на объект(ы) электроснабжения (либо земельного участка), включаемый(е) в договор — копии.</w:t>
      </w:r>
    </w:p>
    <w:p w:rsidR="00495E00" w:rsidRPr="00E05FED" w:rsidRDefault="00495E00" w:rsidP="00495E00">
      <w:pPr>
        <w:shd w:val="clear" w:color="auto" w:fill="FFFFFF"/>
        <w:spacing w:before="15" w:after="15" w:line="366" w:lineRule="atLeast"/>
        <w:ind w:left="15" w:right="15"/>
        <w:textAlignment w:val="baseline"/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</w:pPr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 xml:space="preserve"> Документы технического характера (предоставляются в оригинале):</w:t>
      </w:r>
    </w:p>
    <w:p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Акт(ы) разграничения балансовой принадлежности электросетей и эксплуатационной ответственности сторон, на объект(ы), включенный(е) в договор.</w:t>
      </w:r>
    </w:p>
    <w:p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Однолинейная схема энергоснабжения, на объект(ы), включенный(е) в договор.</w:t>
      </w:r>
    </w:p>
    <w:p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Акт приема-передачи прибора (ов) учета (при смене владельца).</w:t>
      </w:r>
    </w:p>
    <w:p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Перечень субабонентов (при их наличии), с указанием названия объектов субабонентов и их местонахождения.</w:t>
      </w:r>
    </w:p>
    <w:p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Заявка на потребление электрической энергии по договору на текущий</w:t>
      </w:r>
      <w:r w:rsidR="00AA6E5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 следующий</w:t>
      </w: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год.</w:t>
      </w:r>
    </w:p>
    <w:p w:rsidR="00495E00" w:rsidRPr="00495E00" w:rsidRDefault="00495E00" w:rsidP="00495E00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495E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смене владельца — письмо организации, в договоре которой ранее находился объект энергоснабжения, о его исключении из договора.</w:t>
      </w:r>
    </w:p>
    <w:p w:rsidR="004C7F14" w:rsidRDefault="004C7F14">
      <w:pPr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br w:type="page"/>
      </w:r>
    </w:p>
    <w:p w:rsidR="007658C9" w:rsidRPr="00E05FED" w:rsidRDefault="007658C9" w:rsidP="007658C9">
      <w:pPr>
        <w:shd w:val="clear" w:color="auto" w:fill="FFFFFF"/>
        <w:spacing w:before="15" w:after="15" w:line="366" w:lineRule="atLeast"/>
        <w:ind w:left="15" w:right="15"/>
        <w:textAlignment w:val="baseline"/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</w:pPr>
      <w:r w:rsidRPr="00E05FE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lastRenderedPageBreak/>
        <w:t>Документы и сведения подлежащие предоставлению в рамках договора энергоснабжения (предоставляются в оригинале):</w:t>
      </w:r>
    </w:p>
    <w:p w:rsidR="007658C9" w:rsidRDefault="007658C9" w:rsidP="007658C9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При </w:t>
      </w:r>
      <w:r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заключении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договора, а в последующем </w:t>
      </w:r>
      <w:r w:rsidRPr="007658C9"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ежеквартально</w:t>
      </w:r>
      <w:r w:rsidRPr="007658C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в срок до «01» числа второго месяца квартала, предоставлять список лиц, имеющих право ведения оперативных переговоров, телефоны и факс для оперативной связи, с указанием должности и фамилии уполномоченных лиц и их рабочих телефонов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К списку лиц следует приложить копии приказов о назначении таких лиц и лица ответственного за электрохозяйство, копии удостоверений о проверке знаний правил работы в электроустановках таких лиц и лица ответственного за электрохозяйство.</w:t>
      </w:r>
    </w:p>
    <w:p w:rsidR="007658C9" w:rsidRPr="00495E00" w:rsidRDefault="007658C9" w:rsidP="007658C9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При </w:t>
      </w:r>
      <w:r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заключении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договора, а в последующем </w:t>
      </w:r>
      <w:r w:rsidRPr="007658C9">
        <w:rPr>
          <w:rFonts w:ascii="inherit" w:eastAsia="Times New Roman" w:hAnsi="inherit" w:cs="Times New Roman" w:hint="eastAsia"/>
          <w:color w:val="373737"/>
          <w:sz w:val="23"/>
          <w:szCs w:val="23"/>
          <w:lang w:eastAsia="ru-RU"/>
        </w:rPr>
        <w:t>ежеквартально</w:t>
      </w:r>
      <w:r w:rsidRPr="007658C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в срок до «01» числа второго месяца квартала, предоставлять однолинейные схемы электрической сети, утвержденные в установленном порядке, с указанием положения коммутационных аппаратов (включен, отключен) в нормальном режиме работы.</w:t>
      </w:r>
    </w:p>
    <w:p w:rsidR="007658C9" w:rsidRPr="00E05FED" w:rsidRDefault="007658C9" w:rsidP="007658C9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highlight w:val="yellow"/>
          <w:lang w:eastAsia="ru-RU"/>
        </w:rPr>
      </w:pPr>
      <w:r w:rsidRPr="00E05FED">
        <w:rPr>
          <w:rFonts w:ascii="inherit" w:eastAsia="Times New Roman" w:hAnsi="inherit" w:cs="Times New Roman"/>
          <w:color w:val="373737"/>
          <w:sz w:val="23"/>
          <w:szCs w:val="23"/>
          <w:highlight w:val="yellow"/>
          <w:lang w:eastAsia="ru-RU"/>
        </w:rPr>
        <w:t xml:space="preserve">Ежегодно, в срок до «01» февраля предоставлять в Энергоснабжающую организацию письменную заявку на согласование договорного объема потребления электрической энергии (мощности) (договорные величины) энергопринимающими устройствами Потребителя, технологически присоединенными в установленном порядке к электрической сети, с распределением указанной величины по каждой точке присоединения, на следующий календарный год с помесячной детализацией по форме Приложения №3 к </w:t>
      </w:r>
      <w:r w:rsidR="004C7F14" w:rsidRPr="00E05FED">
        <w:rPr>
          <w:rFonts w:ascii="inherit" w:eastAsia="Times New Roman" w:hAnsi="inherit" w:cs="Times New Roman" w:hint="eastAsia"/>
          <w:color w:val="373737"/>
          <w:sz w:val="23"/>
          <w:szCs w:val="23"/>
          <w:highlight w:val="yellow"/>
          <w:lang w:eastAsia="ru-RU"/>
        </w:rPr>
        <w:t>договору</w:t>
      </w:r>
      <w:r w:rsidR="004C7F14" w:rsidRPr="00E05FED">
        <w:rPr>
          <w:rFonts w:ascii="inherit" w:eastAsia="Times New Roman" w:hAnsi="inherit" w:cs="Times New Roman"/>
          <w:color w:val="373737"/>
          <w:sz w:val="23"/>
          <w:szCs w:val="23"/>
          <w:highlight w:val="yellow"/>
          <w:lang w:eastAsia="ru-RU"/>
        </w:rPr>
        <w:t>.</w:t>
      </w:r>
      <w:r w:rsidR="00E05FED">
        <w:rPr>
          <w:rFonts w:eastAsia="Times New Roman" w:cs="Times New Roman"/>
          <w:color w:val="373737"/>
          <w:sz w:val="23"/>
          <w:szCs w:val="23"/>
          <w:highlight w:val="yellow"/>
          <w:lang w:eastAsia="ru-RU"/>
        </w:rPr>
        <w:t xml:space="preserve"> (НА ТЕКУЩИЙ ГОД + ПОСЛЕДУЮЩИЙ)</w:t>
      </w:r>
    </w:p>
    <w:p w:rsidR="00E05FED" w:rsidRDefault="00E05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05FED" w:rsidRDefault="00E05FED" w:rsidP="007658C9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</w:rPr>
        <w:sectPr w:rsidR="00E05FED" w:rsidSect="008535C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E05FED" w:rsidRPr="00E05FED" w:rsidRDefault="00E05FED" w:rsidP="00E05FED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E05FED">
        <w:rPr>
          <w:rFonts w:ascii="Times New Roman" w:hAnsi="Times New Roman" w:cs="Times New Roman"/>
          <w:sz w:val="28"/>
          <w:szCs w:val="28"/>
        </w:rPr>
        <w:lastRenderedPageBreak/>
        <w:t>Шаблон предоставления объемов потребления электрической энергии (мощности)</w:t>
      </w:r>
    </w:p>
    <w:p w:rsidR="00E05FED" w:rsidRPr="00E05FED" w:rsidRDefault="00E05FED" w:rsidP="00E05F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5FED" w:rsidRPr="00E05FED" w:rsidRDefault="00E05FED" w:rsidP="00E05FE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05FE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05FED" w:rsidRPr="00E05FED" w:rsidRDefault="00E05FED" w:rsidP="00E05FED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5FED">
        <w:rPr>
          <w:rFonts w:ascii="Times New Roman" w:hAnsi="Times New Roman" w:cs="Times New Roman"/>
          <w:sz w:val="20"/>
          <w:szCs w:val="20"/>
        </w:rPr>
        <w:t>к договору энергоснабжения</w:t>
      </w:r>
    </w:p>
    <w:p w:rsidR="00E05FED" w:rsidRPr="00E05FED" w:rsidRDefault="00E05FED" w:rsidP="00E05FED">
      <w:pPr>
        <w:pStyle w:val="a8"/>
        <w:keepNext/>
        <w:spacing w:line="360" w:lineRule="auto"/>
        <w:ind w:right="-31"/>
        <w:jc w:val="right"/>
        <w:rPr>
          <w:rFonts w:ascii="Times New Roman" w:hAnsi="Times New Roman"/>
        </w:rPr>
      </w:pPr>
      <w:r w:rsidRPr="00E05FED">
        <w:rPr>
          <w:rFonts w:ascii="Times New Roman" w:hAnsi="Times New Roman"/>
        </w:rPr>
        <w:t>№ ________ от «__» _______ 20__ г.</w:t>
      </w:r>
    </w:p>
    <w:p w:rsidR="00E05FED" w:rsidRPr="00E05FED" w:rsidRDefault="00E05FED" w:rsidP="00E05FED">
      <w:pPr>
        <w:pStyle w:val="a8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ED">
        <w:rPr>
          <w:rFonts w:ascii="Times New Roman" w:hAnsi="Times New Roman"/>
          <w:b/>
          <w:sz w:val="24"/>
          <w:szCs w:val="24"/>
        </w:rPr>
        <w:t>ДОГОВОРНОЙ ОБЪЕМ</w:t>
      </w:r>
    </w:p>
    <w:p w:rsidR="00E05FED" w:rsidRPr="00E05FED" w:rsidRDefault="00E05FED" w:rsidP="00E05FED">
      <w:pPr>
        <w:pStyle w:val="a8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ED">
        <w:rPr>
          <w:rFonts w:ascii="Times New Roman" w:hAnsi="Times New Roman"/>
          <w:b/>
          <w:sz w:val="24"/>
          <w:szCs w:val="24"/>
        </w:rPr>
        <w:t>потребления электроэнергии и величина заявленной мощности на 20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E05FED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955"/>
        <w:gridCol w:w="1260"/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E05FED" w:rsidRPr="00E05FED" w:rsidTr="007D361C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:rsidR="00E05FED" w:rsidRPr="00E05FED" w:rsidRDefault="00E05FED" w:rsidP="007D361C">
            <w:pPr>
              <w:pStyle w:val="a7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05FED">
              <w:rPr>
                <w:b/>
                <w:sz w:val="20"/>
                <w:szCs w:val="20"/>
              </w:rPr>
              <w:t>Разрешенная максимальная мощность – ______ кВт.</w:t>
            </w:r>
          </w:p>
        </w:tc>
      </w:tr>
      <w:tr w:rsidR="00E05FED" w:rsidRPr="00E05FED" w:rsidTr="007D361C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:rsidR="00E05FED" w:rsidRPr="00E05FED" w:rsidRDefault="00E05FED" w:rsidP="007D361C">
            <w:pPr>
              <w:pStyle w:val="a7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05FED">
              <w:rPr>
                <w:b/>
                <w:sz w:val="20"/>
                <w:szCs w:val="20"/>
              </w:rPr>
              <w:t>Объем потребления электроэнергии по месяцам, тыс. кВт*ч</w:t>
            </w:r>
          </w:p>
        </w:tc>
      </w:tr>
      <w:tr w:rsidR="00E05FED" w:rsidRPr="00E05FED" w:rsidTr="007D361C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  <w:b/>
              </w:rPr>
            </w:pPr>
            <w:r w:rsidRPr="00E05FED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05FED" w:rsidRPr="00E05FED" w:rsidTr="007D361C">
        <w:trPr>
          <w:jc w:val="center"/>
        </w:trPr>
        <w:tc>
          <w:tcPr>
            <w:tcW w:w="2193" w:type="dxa"/>
            <w:vMerge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электрической энергии, тыс. кВт*ч</w:t>
            </w:r>
          </w:p>
        </w:tc>
      </w:tr>
      <w:tr w:rsidR="00E05FED" w:rsidRPr="00E05FED" w:rsidTr="007D361C">
        <w:trPr>
          <w:trHeight w:val="284"/>
          <w:jc w:val="center"/>
        </w:trPr>
        <w:tc>
          <w:tcPr>
            <w:tcW w:w="2193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FED" w:rsidRPr="00E05FED" w:rsidTr="007D361C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:rsidR="00E05FED" w:rsidRPr="00E05FED" w:rsidRDefault="00E05FED" w:rsidP="00E05FED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3.*  Величина заявленных пиковых значений потребления мощности по месяцам, кВт</w:t>
            </w:r>
          </w:p>
        </w:tc>
      </w:tr>
      <w:tr w:rsidR="00E05FED" w:rsidRPr="00E05FED" w:rsidTr="007D361C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  <w:b/>
              </w:rPr>
            </w:pPr>
            <w:r w:rsidRPr="00E05FED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05FED" w:rsidRPr="00E05FED" w:rsidTr="007D361C">
        <w:trPr>
          <w:jc w:val="center"/>
        </w:trPr>
        <w:tc>
          <w:tcPr>
            <w:tcW w:w="2193" w:type="dxa"/>
            <w:vMerge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ED">
              <w:rPr>
                <w:rFonts w:ascii="Times New Roman" w:hAnsi="Times New Roman" w:cs="Times New Roman"/>
                <w:b/>
                <w:sz w:val="20"/>
                <w:szCs w:val="20"/>
              </w:rPr>
              <w:t>Пиковые значения потребления мощности, кВт</w:t>
            </w:r>
          </w:p>
        </w:tc>
      </w:tr>
      <w:tr w:rsidR="00E05FED" w:rsidRPr="00E05FED" w:rsidTr="007D361C">
        <w:trPr>
          <w:trHeight w:val="284"/>
          <w:jc w:val="center"/>
        </w:trPr>
        <w:tc>
          <w:tcPr>
            <w:tcW w:w="2193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E05FED" w:rsidRPr="00E05FED" w:rsidRDefault="00E05FED" w:rsidP="007D361C">
            <w:pPr>
              <w:pStyle w:val="a8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E05FED" w:rsidRPr="00E05FED" w:rsidRDefault="00E05FED" w:rsidP="00E05FED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5FED" w:rsidRPr="00E05FED" w:rsidRDefault="00E05FED" w:rsidP="00E05FED">
      <w:pPr>
        <w:pStyle w:val="a8"/>
        <w:keepNext/>
        <w:rPr>
          <w:rFonts w:ascii="Times New Roman" w:hAnsi="Times New Roman"/>
          <w:b/>
          <w:sz w:val="24"/>
          <w:szCs w:val="24"/>
        </w:rPr>
      </w:pPr>
    </w:p>
    <w:p w:rsidR="00E05FED" w:rsidRPr="00E05FED" w:rsidRDefault="00E05FED" w:rsidP="00E05FED">
      <w:pPr>
        <w:pStyle w:val="51"/>
        <w:shd w:val="clear" w:color="auto" w:fill="auto"/>
        <w:ind w:left="20" w:right="54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85"/>
        <w:tblW w:w="15399" w:type="dxa"/>
        <w:tblLayout w:type="fixed"/>
        <w:tblLook w:val="0000" w:firstRow="0" w:lastRow="0" w:firstColumn="0" w:lastColumn="0" w:noHBand="0" w:noVBand="0"/>
      </w:tblPr>
      <w:tblGrid>
        <w:gridCol w:w="3588"/>
        <w:gridCol w:w="1765"/>
        <w:gridCol w:w="5186"/>
        <w:gridCol w:w="3177"/>
        <w:gridCol w:w="1683"/>
      </w:tblGrid>
      <w:tr w:rsidR="00E05FED" w:rsidRPr="00E05FED" w:rsidTr="007D361C">
        <w:trPr>
          <w:cantSplit/>
          <w:trHeight w:val="227"/>
        </w:trPr>
        <w:tc>
          <w:tcPr>
            <w:tcW w:w="5353" w:type="dxa"/>
            <w:gridSpan w:val="2"/>
          </w:tcPr>
          <w:p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05FED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186" w:type="dxa"/>
            <w:vMerge w:val="restart"/>
          </w:tcPr>
          <w:p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E05FED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E05FED" w:rsidRPr="00E05FED" w:rsidTr="007D361C">
        <w:trPr>
          <w:cantSplit/>
          <w:trHeight w:val="227"/>
        </w:trPr>
        <w:tc>
          <w:tcPr>
            <w:tcW w:w="5353" w:type="dxa"/>
            <w:gridSpan w:val="2"/>
          </w:tcPr>
          <w:p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  <w:lang w:val="en-US"/>
              </w:rPr>
            </w:pPr>
            <w:r w:rsidRPr="00E05FED">
              <w:rPr>
                <w:rFonts w:ascii="Times New Roman" w:hAnsi="Times New Roman"/>
              </w:rPr>
              <w:t>АО «Региональная энергетическая компания»</w:t>
            </w:r>
          </w:p>
        </w:tc>
        <w:tc>
          <w:tcPr>
            <w:tcW w:w="5186" w:type="dxa"/>
            <w:vMerge/>
          </w:tcPr>
          <w:p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E05FED" w:rsidRPr="00E05FED" w:rsidTr="007D361C">
        <w:trPr>
          <w:cantSplit/>
          <w:trHeight w:val="645"/>
        </w:trPr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  <w:vAlign w:val="bottom"/>
          </w:tcPr>
          <w:p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  <w:b/>
              </w:rPr>
            </w:pPr>
            <w:r w:rsidRPr="00E05FED">
              <w:rPr>
                <w:rFonts w:ascii="Times New Roman" w:hAnsi="Times New Roman"/>
                <w:lang w:val="en-US"/>
              </w:rPr>
              <w:t>/</w:t>
            </w:r>
            <w:r w:rsidRPr="00E05FED">
              <w:rPr>
                <w:rFonts w:ascii="Times New Roman" w:hAnsi="Times New Roman"/>
              </w:rPr>
              <w:t xml:space="preserve">  Е.А. Кобылин</w:t>
            </w:r>
          </w:p>
        </w:tc>
        <w:tc>
          <w:tcPr>
            <w:tcW w:w="5186" w:type="dxa"/>
            <w:vMerge/>
            <w:vAlign w:val="bottom"/>
          </w:tcPr>
          <w:p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FED" w:rsidRPr="00E05FED" w:rsidRDefault="00E05FED" w:rsidP="007D361C">
            <w:pPr>
              <w:pStyle w:val="a8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FED" w:rsidRPr="00E05FED" w:rsidRDefault="00E05FED" w:rsidP="00E05FED">
            <w:pPr>
              <w:spacing w:after="0"/>
              <w:rPr>
                <w:rStyle w:val="52"/>
                <w:rFonts w:eastAsia="Arial Unicode MS"/>
                <w:sz w:val="20"/>
                <w:szCs w:val="20"/>
              </w:rPr>
            </w:pPr>
            <w:r w:rsidRPr="00E05FED">
              <w:rPr>
                <w:rStyle w:val="52"/>
                <w:rFonts w:eastAsia="Arial Unicode MS"/>
                <w:sz w:val="20"/>
                <w:szCs w:val="20"/>
                <w:lang w:val="en-US"/>
              </w:rPr>
              <w:t>/</w:t>
            </w:r>
          </w:p>
        </w:tc>
      </w:tr>
      <w:tr w:rsidR="00E05FED" w:rsidRPr="00E05FED" w:rsidTr="007D361C">
        <w:trPr>
          <w:cantSplit/>
          <w:trHeight w:val="227"/>
        </w:trPr>
        <w:tc>
          <w:tcPr>
            <w:tcW w:w="5353" w:type="dxa"/>
            <w:gridSpan w:val="2"/>
          </w:tcPr>
          <w:p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E05FED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186" w:type="dxa"/>
            <w:vMerge/>
          </w:tcPr>
          <w:p w:rsidR="00E05FED" w:rsidRPr="00E05FED" w:rsidRDefault="00E05FED" w:rsidP="007D361C">
            <w:pPr>
              <w:pStyle w:val="a8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:rsidR="00E05FED" w:rsidRPr="00E05FED" w:rsidRDefault="00E05FED" w:rsidP="007D361C">
            <w:pPr>
              <w:pStyle w:val="a8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E05FED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:rsidR="00E05FED" w:rsidRPr="00E05FED" w:rsidRDefault="00E05FED" w:rsidP="00E05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FED" w:rsidRPr="00E05FED" w:rsidRDefault="00E05FED" w:rsidP="00E05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F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495E00" w:rsidRPr="000F1700" w:rsidRDefault="00E05FED" w:rsidP="00E05FED">
      <w:pPr>
        <w:spacing w:after="0"/>
        <w:rPr>
          <w:rFonts w:ascii="Times New Roman" w:hAnsi="Times New Roman" w:cs="Times New Roman"/>
          <w:sz w:val="28"/>
        </w:rPr>
      </w:pPr>
      <w:r w:rsidRPr="00E05FED">
        <w:rPr>
          <w:rFonts w:ascii="Times New Roman" w:hAnsi="Times New Roman" w:cs="Times New Roman"/>
          <w:szCs w:val="28"/>
        </w:rPr>
        <w:t>* - заполняется потребителями с максимальной разр</w:t>
      </w:r>
      <w:r>
        <w:rPr>
          <w:rFonts w:ascii="Times New Roman" w:hAnsi="Times New Roman" w:cs="Times New Roman"/>
          <w:szCs w:val="28"/>
        </w:rPr>
        <w:t>ешенной мощностью свыше 670 кВт</w:t>
      </w:r>
    </w:p>
    <w:sectPr w:rsidR="00495E00" w:rsidRPr="000F1700" w:rsidSect="00E05FED">
      <w:headerReference w:type="default" r:id="rId7"/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4BF6">
      <w:pPr>
        <w:spacing w:after="0" w:line="240" w:lineRule="auto"/>
      </w:pPr>
      <w:r>
        <w:separator/>
      </w:r>
    </w:p>
  </w:endnote>
  <w:endnote w:type="continuationSeparator" w:id="0">
    <w:p w:rsidR="00000000" w:rsidRDefault="0091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4BF6">
      <w:pPr>
        <w:spacing w:after="0" w:line="240" w:lineRule="auto"/>
      </w:pPr>
      <w:r>
        <w:separator/>
      </w:r>
    </w:p>
  </w:footnote>
  <w:footnote w:type="continuationSeparator" w:id="0">
    <w:p w:rsidR="00000000" w:rsidRDefault="0091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1" w:rsidRDefault="00914B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4B51"/>
    <w:multiLevelType w:val="multilevel"/>
    <w:tmpl w:val="54F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F08B4"/>
    <w:multiLevelType w:val="multilevel"/>
    <w:tmpl w:val="43FC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CE780B"/>
    <w:multiLevelType w:val="hybridMultilevel"/>
    <w:tmpl w:val="4F2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00"/>
    <w:rsid w:val="000043CE"/>
    <w:rsid w:val="000F1700"/>
    <w:rsid w:val="00257642"/>
    <w:rsid w:val="0038766B"/>
    <w:rsid w:val="003F7AFA"/>
    <w:rsid w:val="00495E00"/>
    <w:rsid w:val="004C7F14"/>
    <w:rsid w:val="00506019"/>
    <w:rsid w:val="0059550D"/>
    <w:rsid w:val="00622BE6"/>
    <w:rsid w:val="006347D6"/>
    <w:rsid w:val="0069166C"/>
    <w:rsid w:val="006C1205"/>
    <w:rsid w:val="006E6956"/>
    <w:rsid w:val="00706616"/>
    <w:rsid w:val="007160A3"/>
    <w:rsid w:val="00734791"/>
    <w:rsid w:val="007658C9"/>
    <w:rsid w:val="008535CD"/>
    <w:rsid w:val="008C46F8"/>
    <w:rsid w:val="00914BF6"/>
    <w:rsid w:val="00AA6E51"/>
    <w:rsid w:val="00BD5A92"/>
    <w:rsid w:val="00E01370"/>
    <w:rsid w:val="00E05FED"/>
    <w:rsid w:val="00E45C02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7E4F-148A-439D-B57B-C0B5312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9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05F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0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E05FED"/>
    <w:rPr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05FED"/>
    <w:pPr>
      <w:shd w:val="clear" w:color="auto" w:fill="FFFFFF"/>
      <w:spacing w:after="0" w:line="264" w:lineRule="exact"/>
    </w:pPr>
    <w:rPr>
      <w:sz w:val="19"/>
      <w:szCs w:val="19"/>
    </w:rPr>
  </w:style>
  <w:style w:type="paragraph" w:styleId="a8">
    <w:name w:val="Plain Text"/>
    <w:basedOn w:val="a"/>
    <w:link w:val="a9"/>
    <w:rsid w:val="00E05F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05F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2">
    <w:name w:val="Заголовок №52"/>
    <w:basedOn w:val="a0"/>
    <w:rsid w:val="00E05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Юрий Савченко</cp:lastModifiedBy>
  <cp:revision>2</cp:revision>
  <cp:lastPrinted>2016-10-07T13:01:00Z</cp:lastPrinted>
  <dcterms:created xsi:type="dcterms:W3CDTF">2020-08-05T07:20:00Z</dcterms:created>
  <dcterms:modified xsi:type="dcterms:W3CDTF">2020-08-05T07:20:00Z</dcterms:modified>
</cp:coreProperties>
</file>